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 разработку программ инструктажа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</w:t>
      </w:r>
      <w:r>
        <w:rPr>
          <w:rFonts w:hAnsi="Times New Roman" w:cs="Times New Roman"/>
          <w:color w:val="000000"/>
          <w:sz w:val="24"/>
          <w:szCs w:val="24"/>
        </w:rPr>
        <w:t>статьей 219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лицами</w:t>
      </w:r>
      <w:r>
        <w:rPr>
          <w:rFonts w:hAnsi="Times New Roman" w:cs="Times New Roman"/>
          <w:color w:val="000000"/>
          <w:sz w:val="24"/>
          <w:szCs w:val="24"/>
        </w:rPr>
        <w:t xml:space="preserve"> за разработку программ инструктажа на рабочем месте следующих лиц: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Ответственным лицам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разработать программы инструктажа на рабочем месте в установленном порядке в соответствии с требованиями законодательных и иных нормативных правовых актов по охране труда, локальных нормативных актов организации, инструкций по охране труда, требованиями безопасности, изложенными в эксплуатационной и ремонтной документации организаций – изготовителей оборудования, а также в технологической документации с учетом конкретных условий производства применительно к виду выполняемой работы с учетом изложенного в письменном виде мнения профсоюзного комитета (иного уполномоченного работниками представительного органа) и представить их мне на утверждение в срок до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выполнением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303de30ad3a425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